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rsidR="00D7522C" w:rsidRDefault="00D7522C" w:rsidP="003B4E04">
      <w:pPr>
        <w:pStyle w:val="Author"/>
        <w:spacing w:before="5pt" w:beforeAutospacing="1" w:after="5pt" w:afterAutospacing="1" w:line="6pt" w:lineRule="auto"/>
        <w:rPr>
          <w:sz w:val="16"/>
          <w:szCs w:val="16"/>
        </w:rPr>
      </w:pPr>
    </w:p>
    <w:p w:rsidR="00D7522C" w:rsidRPr="00CA4392" w:rsidRDefault="00D7522C" w:rsidP="00CA4392">
      <w:pPr>
        <w:pStyle w:val="Author"/>
        <w:spacing w:before="5pt" w:beforeAutospacing="1" w:after="5pt" w:afterAutospacing="1" w:line="6pt" w:lineRule="auto"/>
        <w:rPr>
          <w:sz w:val="16"/>
          <w:szCs w:val="16"/>
        </w:rPr>
        <w:sectPr w:rsidR="00D7522C" w:rsidRPr="00CA4392" w:rsidSect="00C93B59">
          <w:headerReference w:type="first" r:id="rId8"/>
          <w:footerReference w:type="first" r:id="rId9"/>
          <w:pgSz w:w="595.30pt" w:h="841.90pt" w:code="9"/>
          <w:pgMar w:top="27pt" w:right="44.65pt" w:bottom="72pt" w:left="44.65pt" w:header="21.30pt" w:footer="36pt" w:gutter="0pt"/>
          <w:cols w:space="36pt"/>
          <w:titlePg/>
          <w:docGrid w:linePitch="360"/>
        </w:sectPr>
      </w:pPr>
    </w:p>
    <w:p w:rsidR="00BD670B" w:rsidRDefault="009303D9" w:rsidP="00BD670B">
      <w:pPr>
        <w:pStyle w:val="Author"/>
        <w:spacing w:before="5pt" w:beforeAutospacing="1"/>
        <w:rPr>
          <w:sz w:val="18"/>
          <w:szCs w:val="18"/>
        </w:rPr>
      </w:pPr>
      <w:r w:rsidRPr="00F847A6">
        <w:rPr>
          <w:sz w:val="18"/>
          <w:szCs w:val="18"/>
        </w:rPr>
        <w:lastRenderedPageBreak/>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lastRenderedPageBreak/>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lastRenderedPageBreak/>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lastRenderedPageBreak/>
        <w:br w:type="column"/>
      </w:r>
    </w:p>
    <w:p w:rsidR="004D72B5" w:rsidRDefault="009303D9" w:rsidP="00972203">
      <w:pPr>
        <w:pStyle w:val="Abstract"/>
        <w:rPr>
          <w:i/>
          <w:iCs/>
        </w:rPr>
      </w:pPr>
      <w:r>
        <w:rPr>
          <w:i/>
          <w:iCs/>
        </w:rPr>
        <w:lastRenderedPageBreak/>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rsidR="009303D9" w:rsidRPr="005B520E" w:rsidRDefault="009303D9" w:rsidP="00ED0149">
      <w:pPr>
        <w:pStyle w:val="Heading2"/>
      </w:pPr>
      <w:r w:rsidRPr="005B520E">
        <w:t>Maintaining the Integrity of the Specifications</w:t>
      </w:r>
    </w:p>
    <w:p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lastRenderedPageBreak/>
        <w:t>measurement and others are deliberate, using specifications that anticipate your paper as one part of the entire proceedings, 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rsidR="003B4E04" w:rsidRDefault="003B4E04" w:rsidP="003B4E04">
      <w:pPr>
        <w:pStyle w:val="sponsors"/>
        <w:framePr w:wrap="auto" w:vAnchor="page" w:hAnchor="page" w:x="45.90pt" w:y="756.05pt"/>
        <w:ind w:firstLine="14.45pt"/>
      </w:pPr>
      <w:r>
        <w:lastRenderedPageBreak/>
        <w:t>Identif</w:t>
      </w:r>
      <w:r w:rsidRPr="007C0308">
        <w:t xml:space="preserve">y applicable </w:t>
      </w:r>
      <w:r>
        <w:t>funding agency</w:t>
      </w:r>
      <w:r w:rsidRPr="007C0308">
        <w:t xml:space="preserve"> here. </w:t>
      </w:r>
      <w:r>
        <w:rPr>
          <w:iCs/>
        </w:rPr>
        <w:t>If none, delete this text box</w:t>
      </w:r>
      <w:r w:rsidRPr="007C0308">
        <w:rPr>
          <w:iCs/>
        </w:rPr>
        <w:t>.</w:t>
      </w:r>
    </w:p>
    <w:p w:rsidR="009303D9" w:rsidRPr="005B520E" w:rsidRDefault="009303D9" w:rsidP="00E7596C">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Heading2"/>
      </w:pPr>
      <w:r w:rsidRPr="005B520E">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t xml:space="preserve">Number equations consecutively. Equation numbers, within parentheses, are to position flush right, as in (1), using a right tab stop. To make your equations more compact, you may use the solidus ( / ), the </w:t>
      </w:r>
      <w:proofErr w:type="spellStart"/>
      <w:r w:rsidRPr="005B520E">
        <w:t>exp</w:t>
      </w:r>
      <w:proofErr w:type="spellEnd"/>
      <w:r w:rsidRPr="005B520E">
        <w:t xml:space="preserve">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lastRenderedPageBreak/>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start"/>
        <w:rPr>
          <w:i/>
          <w:iCs/>
          <w:noProof/>
        </w:rPr>
      </w:pPr>
    </w:p>
    <w:p w:rsidR="009303D9" w:rsidRDefault="009303D9" w:rsidP="00ED0149">
      <w:pPr>
        <w:pStyle w:val="Heading2"/>
      </w:pPr>
      <w:r w:rsidRPr="005B520E">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rsidR="009303D9" w:rsidRDefault="009303D9" w:rsidP="00ED0149">
      <w:pPr>
        <w:pStyle w:val="Heading2"/>
      </w:pPr>
      <w:r>
        <w:t>Figures and Tables</w:t>
      </w:r>
    </w:p>
    <w:p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trPr>
          <w:cantSplit/>
          <w:trHeight w:val="240"/>
          <w:tblHeader/>
          <w:jc w:val="center"/>
        </w:trPr>
        <w:tc>
          <w:tcPr>
            <w:tcW w:w="36pt" w:type="dxa"/>
            <w:vMerge w:val="restart"/>
            <w:vAlign w:val="center"/>
          </w:tcPr>
          <w:p w:rsidR="009303D9" w:rsidRDefault="009303D9">
            <w:pPr>
              <w:pStyle w:val="tablecolhead"/>
            </w:pPr>
            <w:r>
              <w:t>Table Head</w:t>
            </w:r>
          </w:p>
        </w:tc>
        <w:tc>
          <w:tcPr>
            <w:tcW w:w="207pt" w:type="dxa"/>
            <w:gridSpan w:val="3"/>
            <w:vAlign w:val="center"/>
          </w:tcPr>
          <w:p w:rsidR="009303D9" w:rsidRDefault="009303D9">
            <w:pPr>
              <w:pStyle w:val="tablecolhead"/>
            </w:pPr>
            <w:r>
              <w:t>Table Column Head</w:t>
            </w:r>
          </w:p>
        </w:tc>
      </w:tr>
      <w:tr w:rsidR="009303D9">
        <w:trPr>
          <w:cantSplit/>
          <w:trHeight w:val="240"/>
          <w:tblHeader/>
          <w:jc w:val="center"/>
        </w:trPr>
        <w:tc>
          <w:tcPr>
            <w:tcW w:w="36pt" w:type="dxa"/>
            <w:vMerge/>
          </w:tcPr>
          <w:p w:rsidR="009303D9" w:rsidRDefault="009303D9">
            <w:pPr>
              <w:rPr>
                <w:sz w:val="16"/>
                <w:szCs w:val="16"/>
              </w:rPr>
            </w:pPr>
          </w:p>
        </w:tc>
        <w:tc>
          <w:tcPr>
            <w:tcW w:w="117pt" w:type="dxa"/>
            <w:vAlign w:val="center"/>
          </w:tcPr>
          <w:p w:rsidR="009303D9" w:rsidRDefault="009303D9">
            <w:pPr>
              <w:pStyle w:val="tablecolsubhead"/>
            </w:pPr>
            <w:r>
              <w:t>Table column subhead</w:t>
            </w:r>
          </w:p>
        </w:tc>
        <w:tc>
          <w:tcPr>
            <w:tcW w:w="45pt" w:type="dxa"/>
            <w:vAlign w:val="center"/>
          </w:tcPr>
          <w:p w:rsidR="009303D9" w:rsidRDefault="009303D9">
            <w:pPr>
              <w:pStyle w:val="tablecolsubhead"/>
            </w:pPr>
            <w:r>
              <w:t>Subhead</w:t>
            </w:r>
          </w:p>
        </w:tc>
        <w:tc>
          <w:tcPr>
            <w:tcW w:w="45pt" w:type="dxa"/>
            <w:vAlign w:val="center"/>
          </w:tcPr>
          <w:p w:rsidR="009303D9" w:rsidRDefault="009303D9">
            <w:pPr>
              <w:pStyle w:val="tablecolsubhead"/>
            </w:pPr>
            <w:r>
              <w:t>Subhead</w:t>
            </w:r>
          </w:p>
        </w:tc>
      </w:tr>
      <w:tr w:rsidR="009303D9">
        <w:trPr>
          <w:trHeight w:val="320"/>
          <w:jc w:val="center"/>
        </w:trPr>
        <w:tc>
          <w:tcPr>
            <w:tcW w:w="36pt" w:type="dxa"/>
            <w:vAlign w:val="center"/>
          </w:tcPr>
          <w:p w:rsidR="009303D9" w:rsidRDefault="009303D9">
            <w:pPr>
              <w:pStyle w:val="tablecopy"/>
              <w:rPr>
                <w:sz w:val="8"/>
                <w:szCs w:val="8"/>
              </w:rPr>
            </w:pPr>
            <w:r>
              <w:t>copy</w:t>
            </w:r>
          </w:p>
        </w:tc>
        <w:tc>
          <w:tcPr>
            <w:tcW w:w="117pt" w:type="dxa"/>
            <w:vAlign w:val="center"/>
          </w:tcPr>
          <w:p w:rsidR="009303D9" w:rsidRDefault="009303D9">
            <w:pPr>
              <w:pStyle w:val="tablecopy"/>
            </w:pPr>
            <w:r>
              <w:t>More table copy</w:t>
            </w:r>
            <w:r>
              <w:rPr>
                <w:vertAlign w:val="superscript"/>
              </w:rPr>
              <w:t>a</w:t>
            </w:r>
          </w:p>
        </w:tc>
        <w:tc>
          <w:tcPr>
            <w:tcW w:w="45pt" w:type="dxa"/>
            <w:vAlign w:val="center"/>
          </w:tcPr>
          <w:p w:rsidR="009303D9" w:rsidRDefault="009303D9">
            <w:pPr>
              <w:rPr>
                <w:sz w:val="16"/>
                <w:szCs w:val="16"/>
              </w:rPr>
            </w:pPr>
          </w:p>
        </w:tc>
        <w:tc>
          <w:tcPr>
            <w:tcW w:w="45pt" w:type="dxa"/>
            <w:vAlign w:val="center"/>
          </w:tcPr>
          <w:p w:rsidR="009303D9" w:rsidRDefault="009303D9">
            <w:pPr>
              <w:rPr>
                <w:sz w:val="16"/>
                <w:szCs w:val="16"/>
              </w:rPr>
            </w:pPr>
          </w:p>
        </w:tc>
      </w:tr>
    </w:tbl>
    <w:p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lastRenderedPageBreak/>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start="17.70pt" w:hanging="17.70pt"/>
      </w:pPr>
      <w:r>
        <w:t>J. Clerk Maxwell, A Treatise on Electricity and Magnetism, 3rd ed., vol. 2. Oxford: Clarendon, 1892, pp.68–73.</w:t>
      </w:r>
    </w:p>
    <w:p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rsidR="009303D9" w:rsidRDefault="009303D9" w:rsidP="0004781E">
      <w:pPr>
        <w:pStyle w:val="references"/>
        <w:ind w:start="17.70pt" w:hanging="17.70pt"/>
      </w:pPr>
      <w:r>
        <w:t>K. Elissa, “Title of paper if known,” unpublished.</w:t>
      </w:r>
    </w:p>
    <w:p w:rsidR="009303D9" w:rsidRDefault="009303D9" w:rsidP="0004781E">
      <w:pPr>
        <w:pStyle w:val="references"/>
        <w:ind w:start="17.70pt" w:hanging="17.70pt"/>
      </w:pPr>
      <w:r>
        <w:t>R. Nicole, “Title of paper with only first word capitalized,” J. Name Stand. Abbrev., in press.</w:t>
      </w:r>
    </w:p>
    <w:p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start="17.70pt" w:hanging="17.70pt"/>
      </w:pPr>
      <w:r>
        <w:t>M. Young, The Technical Writer</w:t>
      </w:r>
      <w:r w:rsidR="00E7596C">
        <w:t>’</w:t>
      </w:r>
      <w:r>
        <w:t>s Handbook. Mill Valley, CA: University Science, 1989.</w:t>
      </w:r>
    </w:p>
    <w:p w:rsidR="009303D9" w:rsidRDefault="009303D9" w:rsidP="00836367">
      <w:pPr>
        <w:pStyle w:val="references"/>
        <w:numPr>
          <w:ilvl w:val="0"/>
          <w:numId w:val="0"/>
        </w:numPr>
        <w:ind w:start="18pt" w:hanging="18pt"/>
      </w:pPr>
    </w:p>
    <w:p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9303D9" w:rsidRDefault="003B2B40" w:rsidP="005B520E">
      <w:r>
        <w:rPr>
          <w:noProof/>
        </w:rPr>
        <w:lastRenderedPageBreak/>
        <w:drawing>
          <wp:anchor distT="0" distB="0" distL="114300" distR="114300" simplePos="0" relativeHeight="251657728"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492268" w:rsidRDefault="00492268" w:rsidP="001A3B3D">
      <w:r>
        <w:separator/>
      </w:r>
    </w:p>
  </w:endnote>
  <w:endnote w:type="continuationSeparator" w:id="0">
    <w:p w:rsidR="00492268" w:rsidRDefault="00492268"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AFF" w:usb1="C0007841" w:usb2="00000009" w:usb3="00000000" w:csb0="000001FF" w:csb1="00000000"/>
  </w:font>
  <w:font w:name="Courier New">
    <w:panose1 w:val="02070309020205020404"/>
    <w:charset w:characterSet="iso-8859-1"/>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roman"/>
    <w:notTrueType/>
    <w:pitch w:val="fixed"/>
    <w:sig w:usb0="00000001" w:usb1="08070000" w:usb2="00000010" w:usb3="00000000" w:csb0="00020000" w:csb1="00000000"/>
  </w:font>
  <w:font w:name="Calibri Light">
    <w:panose1 w:val="020F0302020204030204"/>
    <w:charset w:characterSet="iso-8859-1"/>
    <w:family w:val="swiss"/>
    <w:pitch w:val="variable"/>
    <w:sig w:usb0="A00002EF" w:usb1="4000207B" w:usb2="00000000" w:usb3="00000000" w:csb0="0000019F" w:csb1="00000000"/>
  </w:font>
  <w:font w:name="Calibri">
    <w:panose1 w:val="020F0502020204030204"/>
    <w:charset w:characterSet="iso-8859-1"/>
    <w:family w:val="swiss"/>
    <w:pitch w:val="variable"/>
    <w:sig w:usb0="E10002FF" w:usb1="4000ACFF" w:usb2="00000009" w:usb3="00000000" w:csb0="0000019F" w:csb1="00000000"/>
  </w:font>
  <w:font w:name="Arial">
    <w:panose1 w:val="020B0604020202020204"/>
    <w:charset w:characterSet="iso-8859-1"/>
    <w:family w:val="swiss"/>
    <w:pitch w:val="variable"/>
    <w:sig w:usb0="E0002AFF" w:usb1="C0007843"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492268" w:rsidRDefault="00492268" w:rsidP="001A3B3D">
      <w:r>
        <w:separator/>
      </w:r>
    </w:p>
  </w:footnote>
  <w:footnote w:type="continuationSeparator" w:id="0">
    <w:p w:rsidR="00492268" w:rsidRDefault="00492268" w:rsidP="001A3B3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C93B59" w:rsidRDefault="00C93B59" w:rsidP="00D062EB">
    <w:pPr>
      <w:pStyle w:val="Header"/>
    </w:pPr>
    <w:r>
      <w:t>2026</w:t>
    </w:r>
    <w:r w:rsidRPr="00C93B59">
      <w:t xml:space="preserve"> 2st International Conference on Electrical Engineering and Intelligent Systems (EEIS 2026), </w:t>
    </w:r>
    <w:r w:rsidR="00D062EB">
      <w:t>29</w:t>
    </w:r>
    <w:r w:rsidRPr="00C93B59">
      <w:t>-</w:t>
    </w:r>
    <w:r w:rsidR="00D062EB">
      <w:t>30</w:t>
    </w:r>
    <w:r w:rsidRPr="00C93B59">
      <w:t xml:space="preserve"> </w:t>
    </w:r>
    <w:r w:rsidR="00D062EB">
      <w:t>December</w:t>
    </w:r>
    <w:r w:rsidRPr="00C93B59">
      <w:t xml:space="preserve">, </w:t>
    </w:r>
    <w:r>
      <w:t>2026</w:t>
    </w:r>
    <w:r w:rsidRPr="00C93B59">
      <w:t xml:space="preserve">, </w:t>
    </w:r>
  </w:p>
  <w:p w:rsidR="00C93B59" w:rsidRDefault="00C93B59" w:rsidP="00C93B59">
    <w:pPr>
      <w:pStyle w:val="Header"/>
    </w:pPr>
    <w:r w:rsidRPr="00C93B59">
      <w:t xml:space="preserve">Islamic Azad University </w:t>
    </w:r>
    <w:proofErr w:type="spellStart"/>
    <w:r w:rsidRPr="00C93B59">
      <w:t>Najafabad</w:t>
    </w:r>
    <w:proofErr w:type="spellEnd"/>
    <w:r w:rsidRPr="00C93B59">
      <w:t xml:space="preserve"> Branch, </w:t>
    </w:r>
    <w:proofErr w:type="spellStart"/>
    <w:r w:rsidRPr="00C93B59">
      <w:t>Najafabad</w:t>
    </w:r>
    <w:proofErr w:type="spellEnd"/>
    <w:r w:rsidRPr="00C93B59">
      <w:t>, Iran</w:t>
    </w:r>
  </w:p>
  <w:p w:rsidR="00C93B59" w:rsidRDefault="00C93B59">
    <w:pPr>
      <w:pStyle w:val="Header"/>
    </w:pPr>
  </w:p>
</w:hdr>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nsid w:val="FFFFFF7C"/>
    <w:multiLevelType w:val="singleLevel"/>
    <w:tmpl w:val="DD629BEE"/>
    <w:lvl w:ilvl="0">
      <w:start w:val="1"/>
      <w:numFmt w:val="decimal"/>
      <w:lvlText w:val="%1."/>
      <w:lvlJc w:val="start"/>
      <w:pPr>
        <w:tabs>
          <w:tab w:val="num" w:pos="74.60pt"/>
        </w:tabs>
        <w:ind w:start="74.60pt" w:hanging="18pt"/>
      </w:pPr>
    </w:lvl>
  </w:abstractNum>
  <w:abstractNum w:abstractNumId="2">
    <w:nsid w:val="FFFFFF7D"/>
    <w:multiLevelType w:val="singleLevel"/>
    <w:tmpl w:val="2648E1C4"/>
    <w:lvl w:ilvl="0">
      <w:start w:val="1"/>
      <w:numFmt w:val="decimal"/>
      <w:lvlText w:val="%1."/>
      <w:lvlJc w:val="start"/>
      <w:pPr>
        <w:tabs>
          <w:tab w:val="num" w:pos="60.45pt"/>
        </w:tabs>
        <w:ind w:start="60.45pt" w:hanging="18pt"/>
      </w:pPr>
    </w:lvl>
  </w:abstractNum>
  <w:abstractNum w:abstractNumId="3">
    <w:nsid w:val="FFFFFF7E"/>
    <w:multiLevelType w:val="singleLevel"/>
    <w:tmpl w:val="9D38DB54"/>
    <w:lvl w:ilvl="0">
      <w:start w:val="1"/>
      <w:numFmt w:val="decimal"/>
      <w:lvlText w:val="%1."/>
      <w:lvlJc w:val="start"/>
      <w:pPr>
        <w:tabs>
          <w:tab w:val="num" w:pos="46.30pt"/>
        </w:tabs>
        <w:ind w:start="46.30pt" w:hanging="18pt"/>
      </w:pPr>
    </w:lvl>
  </w:abstractNum>
  <w:abstractNum w:abstractNumId="4">
    <w:nsid w:val="FFFFFF7F"/>
    <w:multiLevelType w:val="singleLevel"/>
    <w:tmpl w:val="632C24E2"/>
    <w:lvl w:ilvl="0">
      <w:start w:val="1"/>
      <w:numFmt w:val="decimal"/>
      <w:lvlText w:val="%1."/>
      <w:lvlJc w:val="start"/>
      <w:pPr>
        <w:tabs>
          <w:tab w:val="num" w:pos="32.15pt"/>
        </w:tabs>
        <w:ind w:start="32.15pt" w:hanging="18pt"/>
      </w:pPr>
    </w:lvl>
  </w:abstractNum>
  <w:abstractNum w:abstractNumId="5">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nsid w:val="FFFFFF88"/>
    <w:multiLevelType w:val="singleLevel"/>
    <w:tmpl w:val="229E8DFE"/>
    <w:lvl w:ilvl="0">
      <w:start w:val="1"/>
      <w:numFmt w:val="decimal"/>
      <w:lvlText w:val="%1."/>
      <w:lvlJc w:val="start"/>
      <w:pPr>
        <w:tabs>
          <w:tab w:val="num" w:pos="18pt"/>
        </w:tabs>
        <w:ind w:start="18pt" w:hanging="18pt"/>
      </w:pPr>
    </w:lvl>
  </w:abstractNum>
  <w:abstractNum w:abstractNumId="1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10%"/>
  <w:embedSystemFonts/>
  <w:hideSpellingErrors/>
  <w:hideGrammaticalError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92268"/>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36761"/>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93B59"/>
    <w:rsid w:val="00CA4392"/>
    <w:rsid w:val="00CC393F"/>
    <w:rsid w:val="00D062EB"/>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footer" Target="footer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5E5069C-CAAF-4B60-98EB-A2FF0D1244D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14</TotalTime>
  <Pages>3</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bargh</cp:lastModifiedBy>
  <cp:revision>5</cp:revision>
  <dcterms:created xsi:type="dcterms:W3CDTF">2019-01-08T18:42:00Z</dcterms:created>
  <dcterms:modified xsi:type="dcterms:W3CDTF">2026-05-06T08:13:00Z</dcterms:modified>
</cp:coreProperties>
</file>